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1" w:rsidRDefault="009D3F9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5"/>
        <w:tblW w:w="101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063"/>
        <w:gridCol w:w="5063"/>
      </w:tblGrid>
      <w:tr w:rsidR="009D3F91">
        <w:trPr>
          <w:cantSplit/>
          <w:tblHeader/>
        </w:trPr>
        <w:tc>
          <w:tcPr>
            <w:tcW w:w="5063" w:type="dxa"/>
          </w:tcPr>
          <w:p w:rsidR="009D3F91" w:rsidRDefault="009D3F91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</w:tcPr>
          <w:p w:rsidR="009D3F91" w:rsidRDefault="000867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«УТВЕРЖДАЮ»</w:t>
            </w:r>
          </w:p>
          <w:p w:rsidR="009D3F91" w:rsidRDefault="009D3F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D3F91" w:rsidRDefault="000867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АНО ДО </w:t>
            </w:r>
          </w:p>
          <w:p w:rsidR="009D3F91" w:rsidRDefault="000867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«Центр довузовской подготовки»</w:t>
            </w:r>
          </w:p>
          <w:p w:rsidR="009D3F91" w:rsidRDefault="000867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________________</w:t>
            </w:r>
            <w:r>
              <w:rPr>
                <w:color w:val="000000"/>
              </w:rPr>
              <w:t>С.Н. Тюкавин</w:t>
            </w:r>
          </w:p>
          <w:p w:rsidR="009D3F91" w:rsidRDefault="000867DD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Приказ №</w:t>
            </w:r>
            <w:r>
              <w:rPr>
                <w:color w:val="000000"/>
                <w:u w:val="single"/>
              </w:rPr>
              <w:t>_</w:t>
            </w:r>
            <w:r>
              <w:rPr>
                <w:u w:val="single"/>
              </w:rPr>
              <w:t>19</w:t>
            </w:r>
            <w:r>
              <w:rPr>
                <w:color w:val="000000"/>
                <w:u w:val="single"/>
              </w:rPr>
              <w:t>_</w:t>
            </w:r>
            <w:r>
              <w:rPr>
                <w:color w:val="000000"/>
              </w:rPr>
              <w:t>от «</w:t>
            </w:r>
            <w:r>
              <w:rPr>
                <w:color w:val="000000"/>
                <w:u w:val="single"/>
              </w:rPr>
              <w:t>_02_</w:t>
            </w:r>
            <w:r>
              <w:rPr>
                <w:color w:val="000000"/>
              </w:rPr>
              <w:t>» апреля 2021 г.</w:t>
            </w:r>
          </w:p>
        </w:tc>
      </w:tr>
    </w:tbl>
    <w:p w:rsidR="009D3F91" w:rsidRDefault="009D3F9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  <w:sz w:val="28"/>
          <w:szCs w:val="28"/>
        </w:rPr>
      </w:pPr>
    </w:p>
    <w:p w:rsidR="009D3F91" w:rsidRDefault="000867DD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ПОЛОЖЕНИЕ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br/>
        <w:t xml:space="preserve">О ФОРМАХ, ПЕРИОДИЧНОСТИ И </w:t>
      </w:r>
      <w:r>
        <w:rPr>
          <w:b/>
          <w:color w:val="000000"/>
          <w:sz w:val="28"/>
          <w:szCs w:val="28"/>
        </w:rPr>
        <w:t>ПОРЯДКЕ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ТЕКУЩЕГО КОНТРОЛЯ УСПЕВАЕМОСТИ ОБУЧАЮЩИХСЯ АНО ДО «ЦДП»</w:t>
      </w:r>
    </w:p>
    <w:p w:rsidR="009D3F91" w:rsidRDefault="009D3F9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D3F91" w:rsidRDefault="000867DD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«О формах, периодичности и порядке текущего контроля успеваемости обучающихся АНО ДО «ЦДП» (далее - Положение) конкретизирует положения дополнительной общеобразовательной (общеразвивающей) программы дополнительного образо</w:t>
      </w:r>
      <w:r>
        <w:rPr>
          <w:sz w:val="28"/>
          <w:szCs w:val="28"/>
        </w:rPr>
        <w:t>вания Автономной некоммерческой организации дополнительного образования «Центр довузовской подготовки» (далее - ЦДП) в части регламентации функционирования системы оценки достижения учащимися планируемых результатов освоения дополнительной общеобразователь</w:t>
      </w:r>
      <w:r>
        <w:rPr>
          <w:sz w:val="28"/>
          <w:szCs w:val="28"/>
        </w:rPr>
        <w:t>ной программы и определяет: формы, периодичность и порядок текущего контроля успеваемости учащихся, а также устанавливает единые требования к системе оценивания результатов.</w:t>
      </w:r>
    </w:p>
    <w:p w:rsidR="009D3F91" w:rsidRDefault="000867DD">
      <w:pPr>
        <w:pStyle w:val="normal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разработано в соответствии с:</w:t>
      </w:r>
    </w:p>
    <w:p w:rsidR="009D3F91" w:rsidRDefault="000867DD">
      <w:pPr>
        <w:pStyle w:val="normal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Федеральным законом от 29.12.2012 </w:t>
      </w:r>
      <w:r>
        <w:rPr>
          <w:sz w:val="28"/>
          <w:szCs w:val="28"/>
        </w:rPr>
        <w:t>№ 273-ФЗ "Об образовании в Российской Федерации";</w:t>
      </w:r>
    </w:p>
    <w:p w:rsidR="009D3F91" w:rsidRDefault="000867DD">
      <w:pPr>
        <w:pStyle w:val="normal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Федеральным государственным образовательным стандартом  среднего  общего образования, утвержденного приказом Министерства образования и науки РФ от 17.05.2012 г. № 413 с учетом внесенных изменений (прика</w:t>
      </w:r>
      <w:r>
        <w:rPr>
          <w:sz w:val="28"/>
          <w:szCs w:val="28"/>
        </w:rPr>
        <w:t>з №1645 от 29 декабря 2014г., приказ №1578 от 31 декабря 2015г., приказ №613 от 29 июня 2017г.);</w:t>
      </w:r>
    </w:p>
    <w:p w:rsidR="009D3F91" w:rsidRDefault="000867DD">
      <w:pPr>
        <w:pStyle w:val="normal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Порядком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</w:t>
      </w:r>
      <w:r>
        <w:rPr>
          <w:sz w:val="28"/>
          <w:szCs w:val="28"/>
        </w:rPr>
        <w:t>вещения Российской Федерации от 09 ноября 2018 года № 196;</w:t>
      </w:r>
    </w:p>
    <w:p w:rsidR="009D3F91" w:rsidRDefault="000867DD"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</w:t>
      </w:r>
      <w:r>
        <w:rPr>
          <w:sz w:val="28"/>
          <w:szCs w:val="28"/>
        </w:rPr>
        <w:t xml:space="preserve">от 9.01.2014 № 2; </w:t>
      </w:r>
    </w:p>
    <w:p w:rsidR="009D3F91" w:rsidRDefault="000867DD">
      <w:pPr>
        <w:pStyle w:val="normal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sz w:val="28"/>
          <w:szCs w:val="28"/>
          <w:highlight w:val="white"/>
        </w:rPr>
        <w:t xml:space="preserve">Постановлением Главного государственного санитарного врача Российской Федерации от 28.09.2020 №28 об утверждении </w:t>
      </w:r>
      <w:r>
        <w:rPr>
          <w:sz w:val="28"/>
          <w:szCs w:val="28"/>
        </w:rPr>
        <w:t xml:space="preserve">СП 2.4.3648-20 "Санитарно-эпидемиологические требования к организациям воспитания и </w:t>
      </w:r>
      <w:r>
        <w:rPr>
          <w:sz w:val="28"/>
          <w:szCs w:val="28"/>
        </w:rPr>
        <w:lastRenderedPageBreak/>
        <w:t>обучения, отдыха и оздоровления детей</w:t>
      </w:r>
      <w:r>
        <w:rPr>
          <w:sz w:val="28"/>
          <w:szCs w:val="28"/>
        </w:rPr>
        <w:t xml:space="preserve"> и молодежи"; </w:t>
      </w:r>
    </w:p>
    <w:p w:rsidR="009D3F91" w:rsidRDefault="000867DD">
      <w:pPr>
        <w:pStyle w:val="normal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sz w:val="28"/>
          <w:szCs w:val="28"/>
        </w:rPr>
        <w:t>Уставом АНО ДО «ЦДП»</w:t>
      </w:r>
      <w:r>
        <w:rPr>
          <w:sz w:val="28"/>
          <w:szCs w:val="28"/>
        </w:rPr>
        <w:t>;</w:t>
      </w:r>
    </w:p>
    <w:p w:rsidR="009D3F91" w:rsidRDefault="000867D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Локальными нормативными актами АНО ДО «ЦДП»;</w:t>
      </w:r>
    </w:p>
    <w:p w:rsidR="009D3F91" w:rsidRDefault="000867DD">
      <w:pPr>
        <w:pStyle w:val="normal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Дополнительной общеобразовательной (общеразвивающей) программой дополнительного образования АНО ДО «ЦДП».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Текущий контроль успеваемости обучающихся проводятся в обязательном порядке  по предметам, включенным в учебный план.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Текущий контроль успеваемости обучающихся осуществляют педагогические работники в соответствии с должностными обязанностями, ло</w:t>
      </w:r>
      <w:r>
        <w:rPr>
          <w:sz w:val="28"/>
          <w:szCs w:val="28"/>
        </w:rPr>
        <w:t>кальными актами ЦДП.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Результаты, полученные в ходе текущего контроля успеваемости, являются документальной основой для корректировки процесса реализации учебных программ (выбор форм, методов и приемов организации учебного процесса), составления анализ</w:t>
      </w:r>
      <w:r>
        <w:rPr>
          <w:sz w:val="28"/>
          <w:szCs w:val="28"/>
        </w:rPr>
        <w:t xml:space="preserve">а работы ЦДП, отчета о самообследовании,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Основными потребителями информации о результатах текущего контроля успеваемости обучающихся являются участники образовательных отношений: администрация ЦДП, педагоги, учащиеся и их родители (законные представи</w:t>
      </w:r>
      <w:r>
        <w:rPr>
          <w:sz w:val="28"/>
          <w:szCs w:val="28"/>
        </w:rPr>
        <w:t xml:space="preserve">тели), коллегиальные органы управления ЦДП, экспертные комиссии при проведении процедур лицензирования и аккредитации, представители учредителя.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Принятие Положения, а также внесение в него изменений и дополнений относится к компетенции общего собрани</w:t>
      </w:r>
      <w:r>
        <w:rPr>
          <w:sz w:val="28"/>
          <w:szCs w:val="28"/>
        </w:rPr>
        <w:t xml:space="preserve">я ЦДП. Решение общего собрания утверждается приказом директора. </w:t>
      </w:r>
    </w:p>
    <w:p w:rsidR="009D3F91" w:rsidRDefault="000867DD">
      <w:pPr>
        <w:pStyle w:val="normal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Текущий контроль успеваемости учащихся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Текущий контроль успеваемости учащихся представляет собой систему контрольных процедур, обеспечивающих систематический контроль за уровнем осво</w:t>
      </w:r>
      <w:r>
        <w:rPr>
          <w:sz w:val="28"/>
          <w:szCs w:val="28"/>
        </w:rPr>
        <w:t xml:space="preserve">ения учащимися тем, разделов учебных программ, прочностью формируемых предметных знаний, умений, навыков.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Текущий контроль успеваемости учащихся осуществляется учителем в течение учебного года на текущих занятиях и после изучения логически завершенны</w:t>
      </w:r>
      <w:r>
        <w:rPr>
          <w:sz w:val="28"/>
          <w:szCs w:val="28"/>
        </w:rPr>
        <w:t xml:space="preserve">х частей учебного материала в соответствии с учебной программой.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Текущий контроль успеваемости обучающихся проводится: </w:t>
      </w:r>
    </w:p>
    <w:p w:rsidR="009D3F91" w:rsidRDefault="000867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поурочно, по окончании изучения темы, раздела; </w:t>
      </w:r>
    </w:p>
    <w:p w:rsidR="009D3F91" w:rsidRDefault="000867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(в начале учебного года);</w:t>
      </w:r>
    </w:p>
    <w:p w:rsidR="009D3F91" w:rsidRDefault="000867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промежуточный контроль (в середине учебного года – январь);</w:t>
      </w:r>
    </w:p>
    <w:p w:rsidR="009D3F91" w:rsidRDefault="000867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контроль (в конце учебного года – начало апреля).</w:t>
      </w:r>
    </w:p>
    <w:p w:rsidR="009D3F91" w:rsidRDefault="000867DD">
      <w:pPr>
        <w:pStyle w:val="normal"/>
        <w:spacing w:after="12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2.4. Периодичность и формы поурочного и тематического контроля: определяются учителями самостоятельно с учетом требований учебных програм</w:t>
      </w:r>
      <w:r>
        <w:rPr>
          <w:sz w:val="28"/>
          <w:szCs w:val="28"/>
        </w:rPr>
        <w:t xml:space="preserve">м по курсам, индивидуальных особенностей обучающихся, используемых образовательных технологий, входной, промежуточный и итоговый контроль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отражается в календарно – тематических планах  рабочих программ учителя.</w:t>
      </w:r>
      <w:r>
        <w:rPr>
          <w:color w:val="FF0000"/>
          <w:sz w:val="28"/>
          <w:szCs w:val="28"/>
        </w:rPr>
        <w:t xml:space="preserve">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Возможными формами текущего контроля у</w:t>
      </w:r>
      <w:r>
        <w:rPr>
          <w:sz w:val="28"/>
          <w:szCs w:val="28"/>
        </w:rPr>
        <w:t xml:space="preserve">спеваемости являются: </w:t>
      </w:r>
    </w:p>
    <w:p w:rsidR="009D3F91" w:rsidRDefault="000867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Письменная проверка – письменный ответ учащегося на один или систему вопросов (заданий). К письменным относятся: домашние, проверочные работы, письменные ответы на вопросы; тестирование; сочинения, диктанты и др. </w:t>
      </w:r>
    </w:p>
    <w:p w:rsidR="009D3F91" w:rsidRDefault="000867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Устная проверка - у</w:t>
      </w:r>
      <w:r>
        <w:rPr>
          <w:color w:val="000000"/>
          <w:sz w:val="28"/>
          <w:szCs w:val="28"/>
        </w:rPr>
        <w:t xml:space="preserve">стный ответ учащегося на один или систему вопросов в форме рассказа, беседы, собеседования и др. </w:t>
      </w:r>
    </w:p>
    <w:p w:rsidR="009D3F91" w:rsidRDefault="000867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Комбинированная проверка - предполагает сочетание письменных и устных форм проверок.</w:t>
      </w:r>
    </w:p>
    <w:p w:rsidR="009D3F91" w:rsidRDefault="000867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06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Текущий контроль успеваемости учащихся осуществляется: </w:t>
      </w:r>
    </w:p>
    <w:p w:rsidR="009D3F91" w:rsidRDefault="000867DD">
      <w:pPr>
        <w:pStyle w:val="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виде выставления баллов за вып</w:t>
      </w:r>
      <w:r>
        <w:rPr>
          <w:sz w:val="28"/>
          <w:szCs w:val="28"/>
        </w:rPr>
        <w:t>олненное задание в соответствии с нормами оценки задания согласно спецификации контрольных измерительных материалов по соответствующему предмету ЕГЭ.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выполненную во время входного, промежуточного, итогового контроля письменную работу (тестирование, сочи</w:t>
      </w:r>
      <w:r>
        <w:rPr>
          <w:sz w:val="28"/>
          <w:szCs w:val="28"/>
        </w:rPr>
        <w:t xml:space="preserve">нение) отметка в виде количества баллов заносится в  журнал в графу, которая отражает тему контроля.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При текущем контроле успеваемости учащихся применяется система оценивания в виде отметки в баллах  в соответствии с нормами оценки задания согласно с</w:t>
      </w:r>
      <w:r>
        <w:rPr>
          <w:sz w:val="28"/>
          <w:szCs w:val="28"/>
        </w:rPr>
        <w:t xml:space="preserve">пецификации контрольных измерительных материалов по соответствующему предмету ЕГЭ.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Формой входного, промежуточного, итогового контроля является тестирование в форме ЕГЭ.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Все контрольные мероприятия проводятся в рамках текущего контроля успеваемо</w:t>
      </w:r>
      <w:r>
        <w:rPr>
          <w:sz w:val="28"/>
          <w:szCs w:val="28"/>
        </w:rPr>
        <w:t xml:space="preserve">сти во время учебных занятий и в рамках учебного расписания.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невыполнения обучающимся письменной работы по причине отсутствия учитель принимает меры по выполнению обучающимся данной работы в пределах учебного времени.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2.10.В качестве контро</w:t>
      </w:r>
      <w:r>
        <w:rPr>
          <w:sz w:val="28"/>
          <w:szCs w:val="28"/>
        </w:rPr>
        <w:t>льно-измерительных материалов для проведения текущего контроля используются материалы КИМ, разработанные ФИПИ.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письменных работ, тестов должно соответствовать требованиям федерального государственного образовательного стандарта, учебной программ</w:t>
      </w:r>
      <w:r>
        <w:rPr>
          <w:sz w:val="28"/>
          <w:szCs w:val="28"/>
        </w:rPr>
        <w:t xml:space="preserve">ы  курса, годовому тематическому планированию учителя – предметника. </w:t>
      </w:r>
    </w:p>
    <w:p w:rsidR="009D3F91" w:rsidRDefault="000867DD">
      <w:pPr>
        <w:pStyle w:val="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Учителя доводят до сведения родителей (законных представителей) сведения о результатах входного, промежуточного и итогового контроля освоения обучающимися учебных программ.</w:t>
      </w:r>
    </w:p>
    <w:sectPr w:rsidR="009D3F91" w:rsidSect="009D3F91">
      <w:footerReference w:type="default" r:id="rId7"/>
      <w:pgSz w:w="11906" w:h="16838"/>
      <w:pgMar w:top="608" w:right="720" w:bottom="709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DD" w:rsidRDefault="000867DD" w:rsidP="009D3F91">
      <w:r>
        <w:separator/>
      </w:r>
    </w:p>
  </w:endnote>
  <w:endnote w:type="continuationSeparator" w:id="1">
    <w:p w:rsidR="000867DD" w:rsidRDefault="000867DD" w:rsidP="009D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91" w:rsidRDefault="000867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-1308099</wp:posOffset>
            </wp:positionH>
            <wp:positionV relativeFrom="paragraph">
              <wp:posOffset>10375900</wp:posOffset>
            </wp:positionV>
            <wp:extent cx="7541260" cy="190500"/>
            <wp:effectExtent b="0" l="0" r="0" t="0"/>
            <wp:wrapNone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3009835" y="3684750"/>
                      <a:ext cx="7541260" cy="190500"/>
                      <a:chOff x="3009835" y="3684750"/>
                      <a:chExt cx="7541259" cy="190500"/>
                    </a:xfrm>
                  </wpg:grpSpPr>
                  <wpg:grpSp>
                    <wpg:cNvGrpSpPr/>
                    <wpg:grpSpPr>
                      <a:xfrm>
                        <a:off x="3009835" y="3684750"/>
                        <a:ext cx="7541259" cy="190500"/>
                        <a:chOff x="0" y="0"/>
                        <a:chExt cx="7541259" cy="1905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75412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486135" y="7620"/>
                          <a:ext cx="405523" cy="182880"/>
                        </a:xfrm>
                        <a:custGeom>
                          <a:rect b="b" l="l" r="r" t="t"/>
                          <a:pathLst>
                            <a:path extrusionOk="0" h="182880" w="405523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405523" y="182880"/>
                              </a:lnTo>
                              <a:lnTo>
                                <a:pt x="405523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   \* MERGEFORMAT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c8c8c"/>
                                <w:sz w:val="24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0" y="0"/>
                          <a:ext cx="7541259" cy="146050"/>
                          <a:chOff x="0" y="0"/>
                          <a:chExt cx="7541259" cy="146050"/>
                        </a:xfrm>
                      </wpg:grpSpPr>
                      <wps:wsp>
                        <wps:cNvSpPr/>
                        <wps:cNvPr id="6" name="Shape 6"/>
                        <wps:spPr>
                          <a:xfrm flipH="1" rot="10800000">
                            <a:off x="0" y="0"/>
                            <a:ext cx="775355" cy="146050"/>
                          </a:xfrm>
                          <a:custGeom>
                            <a:rect b="b" l="l" r="r" t="t"/>
                            <a:pathLst>
                              <a:path extrusionOk="0" h="146050" w="775355">
                                <a:moveTo>
                                  <a:pt x="0" y="0"/>
                                </a:moveTo>
                                <a:lnTo>
                                  <a:pt x="387677" y="0"/>
                                </a:lnTo>
                                <a:lnTo>
                                  <a:pt x="387677" y="146050"/>
                                </a:lnTo>
                                <a:lnTo>
                                  <a:pt x="775355" y="14605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A5A5A5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10800000">
                            <a:off x="775356" y="0"/>
                            <a:ext cx="6765904" cy="146050"/>
                          </a:xfrm>
                          <a:custGeom>
                            <a:rect b="b" l="l" r="r" t="t"/>
                            <a:pathLst>
                              <a:path extrusionOk="0" h="146050" w="6765904">
                                <a:moveTo>
                                  <a:pt x="0" y="0"/>
                                </a:moveTo>
                                <a:lnTo>
                                  <a:pt x="3382952" y="0"/>
                                </a:lnTo>
                                <a:lnTo>
                                  <a:pt x="3382952" y="146050"/>
                                </a:lnTo>
                                <a:lnTo>
                                  <a:pt x="6765904" y="14605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A5A5A5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-1308099</wp:posOffset>
              </wp:positionH>
              <wp:positionV relativeFrom="paragraph">
                <wp:posOffset>10375900</wp:posOffset>
              </wp:positionV>
              <wp:extent cx="7541260" cy="19050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12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DD" w:rsidRDefault="000867DD" w:rsidP="009D3F91">
      <w:r>
        <w:separator/>
      </w:r>
    </w:p>
  </w:footnote>
  <w:footnote w:type="continuationSeparator" w:id="1">
    <w:p w:rsidR="000867DD" w:rsidRDefault="000867DD" w:rsidP="009D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849"/>
    <w:multiLevelType w:val="multilevel"/>
    <w:tmpl w:val="2114518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D20AA8"/>
    <w:multiLevelType w:val="multilevel"/>
    <w:tmpl w:val="B17A3F84"/>
    <w:lvl w:ilvl="0">
      <w:start w:val="1"/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F91"/>
    <w:rsid w:val="000867DD"/>
    <w:rsid w:val="009D3F91"/>
    <w:rsid w:val="00AC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D3F9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rsid w:val="009D3F91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9D3F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D3F91"/>
    <w:pPr>
      <w:outlineLvl w:val="3"/>
    </w:pPr>
    <w:rPr>
      <w:b/>
    </w:rPr>
  </w:style>
  <w:style w:type="paragraph" w:styleId="5">
    <w:name w:val="heading 5"/>
    <w:basedOn w:val="normal"/>
    <w:next w:val="normal"/>
    <w:rsid w:val="009D3F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D3F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3F91"/>
  </w:style>
  <w:style w:type="table" w:customStyle="1" w:styleId="TableNormal">
    <w:name w:val="Table Normal"/>
    <w:rsid w:val="009D3F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3F9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D3F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D3F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MQuwllVbHO7A90svUutALtGEMjHccYwMatd6+qU8Dlw=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GgL841r/fEirJlTksUTS12d2YrX9yhi1o2AvCSwcKh8Kp161vhIGLhpK7jfxC7jM
0dCkHYjrFzur7wpHkUBSSw==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O2mlPSyBAe6vyxQAaX/PbEm+MjA=</DigestValue>
      </Reference>
      <Reference URI="/word/endnotes.xml?ContentType=application/vnd.openxmlformats-officedocument.wordprocessingml.endnotes+xml">
        <DigestMethod Algorithm="http://www.w3.org/2000/09/xmldsig#sha1"/>
        <DigestValue>6S8l0YHjbKfC0PQM5xqLYmbLl0g=</DigestValue>
      </Reference>
      <Reference URI="/word/fontTable.xml?ContentType=application/vnd.openxmlformats-officedocument.wordprocessingml.fontTable+xml">
        <DigestMethod Algorithm="http://www.w3.org/2000/09/xmldsig#sha1"/>
        <DigestValue>ENWb1YbhXEhjBBCrcveDyFBLVT4=</DigestValue>
      </Reference>
      <Reference URI="/word/footer1.xml?ContentType=application/vnd.openxmlformats-officedocument.wordprocessingml.footer+xml">
        <DigestMethod Algorithm="http://www.w3.org/2000/09/xmldsig#sha1"/>
        <DigestValue>HJS9oTm/8u7hx7Txxd3wpLbZToY=</DigestValue>
      </Reference>
      <Reference URI="/word/footnotes.xml?ContentType=application/vnd.openxmlformats-officedocument.wordprocessingml.footnotes+xml">
        <DigestMethod Algorithm="http://www.w3.org/2000/09/xmldsig#sha1"/>
        <DigestValue>RL+FINsIy/Sh04eIXDe7RIoRJ5E=</DigestValue>
      </Reference>
      <Reference URI="/word/media/image1.png?ContentType=image/png">
        <DigestMethod Algorithm="http://www.w3.org/2000/09/xmldsig#sha1"/>
        <DigestValue>4lxFr0pFksL32CJdwwVASujddDs=</DigestValue>
      </Reference>
      <Reference URI="/word/numbering.xml?ContentType=application/vnd.openxmlformats-officedocument.wordprocessingml.numbering+xml">
        <DigestMethod Algorithm="http://www.w3.org/2000/09/xmldsig#sha1"/>
        <DigestValue>NKS0W8xGVxqi97Hz9X/OdC8OYNs=</DigestValue>
      </Reference>
      <Reference URI="/word/settings.xml?ContentType=application/vnd.openxmlformats-officedocument.wordprocessingml.settings+xml">
        <DigestMethod Algorithm="http://www.w3.org/2000/09/xmldsig#sha1"/>
        <DigestValue>FuHQimn+JeBYMta2eaAaBJHrdQM=</DigestValue>
      </Reference>
      <Reference URI="/word/styles.xml?ContentType=application/vnd.openxmlformats-officedocument.wordprocessingml.styles+xml">
        <DigestMethod Algorithm="http://www.w3.org/2000/09/xmldsig#sha1"/>
        <DigestValue>rwMpSrCM36PIJUtmaUC3du1dxjs=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2021-09-02T04:28:53Z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2021-09-02T04:18:00Z</dcterms:created>
  <dcterms:modified xsi:type="dcterms:W3CDTF">2021-09-02T04:18:00Z</dcterms:modified>
</cp:coreProperties>
</file>